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F6" w:rsidRDefault="00AF7F23" w:rsidP="00AF7F23">
      <w:pPr>
        <w:ind w:left="5760" w:firstLine="72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</wp:posOffset>
            </wp:positionV>
            <wp:extent cx="97155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176" y="21318"/>
                <wp:lineTo x="21176" y="0"/>
                <wp:lineTo x="0" y="0"/>
              </wp:wrapPolygon>
            </wp:wrapTight>
            <wp:docPr id="2" name="Picture 2" descr="F:\USERS\Brittani Bohn\Watson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Brittani Bohn\Watson color no t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56E">
        <w:rPr>
          <w:noProof/>
        </w:rPr>
        <w:drawing>
          <wp:inline distT="0" distB="0" distL="0" distR="0">
            <wp:extent cx="914400" cy="1248123"/>
            <wp:effectExtent l="0" t="0" r="0" b="9525"/>
            <wp:docPr id="1" name="Picture 1" descr="IN01111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1111_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14" cy="126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F6" w:rsidRDefault="00E760F6"/>
    <w:p w:rsidR="00E760F6" w:rsidRDefault="00EF3C13">
      <w:pPr>
        <w:rPr>
          <w:b/>
          <w:bCs/>
          <w:i/>
          <w:iCs/>
        </w:rPr>
      </w:pPr>
      <w:r>
        <w:rPr>
          <w:b/>
          <w:bCs/>
          <w:i/>
          <w:iCs/>
        </w:rPr>
        <w:t>Watson Takes a Close Look At….</w:t>
      </w:r>
    </w:p>
    <w:p w:rsidR="00E760F6" w:rsidRDefault="00EF3C13">
      <w:pPr>
        <w:pStyle w:val="Heading1"/>
      </w:pPr>
      <w:r>
        <w:t>Writing Annual Goals</w:t>
      </w:r>
    </w:p>
    <w:p w:rsidR="00E760F6" w:rsidRDefault="00E760F6"/>
    <w:p w:rsidR="00E760F6" w:rsidRDefault="00EF3C13">
      <w:r>
        <w:t xml:space="preserve">Do you know where you are going?  Specifically when writing an IEP?  Remember that what you write in the Present </w:t>
      </w:r>
      <w:r w:rsidR="00D94D57">
        <w:t>Levels of Academic Achievement and Functional Performance</w:t>
      </w:r>
      <w:r>
        <w:t xml:space="preserve"> </w:t>
      </w:r>
      <w:r w:rsidR="00D94D57">
        <w:t xml:space="preserve">(PLAAFP) </w:t>
      </w:r>
      <w:r>
        <w:t xml:space="preserve">needs to be the road map to the rest of the IEP.  The Present </w:t>
      </w:r>
      <w:r w:rsidR="00D94D57">
        <w:t>Level</w:t>
      </w:r>
      <w:r w:rsidR="0067490C">
        <w:t>s</w:t>
      </w:r>
      <w:r w:rsidR="009E10AA">
        <w:t xml:space="preserve"> statement tells</w:t>
      </w:r>
      <w:r>
        <w:t>, “</w:t>
      </w:r>
      <w:r>
        <w:rPr>
          <w:i/>
          <w:iCs/>
        </w:rPr>
        <w:t>You are Here</w:t>
      </w:r>
      <w:r>
        <w:t>” on the map.  The team then decides where to go from “here” to the Annual Goal.  An easy way to travel when writing Annual Goals is to write the goal in a “from-to” statement.  Look at</w:t>
      </w:r>
      <w:r w:rsidR="00902F15">
        <w:t xml:space="preserve"> </w:t>
      </w:r>
      <w:r w:rsidR="009E10AA">
        <w:t>the following statement</w:t>
      </w:r>
      <w:r w:rsidR="00902F15">
        <w:t xml:space="preserve"> from </w:t>
      </w:r>
      <w:r w:rsidR="009E10AA">
        <w:t xml:space="preserve">the </w:t>
      </w:r>
      <w:r>
        <w:t xml:space="preserve">Present </w:t>
      </w:r>
      <w:r w:rsidR="00902F15">
        <w:t>Levels</w:t>
      </w:r>
      <w:r>
        <w:t xml:space="preserve"> </w:t>
      </w:r>
      <w:r w:rsidR="009E10AA">
        <w:t xml:space="preserve">section of the IEP for </w:t>
      </w:r>
      <w:r>
        <w:t>a young student.</w:t>
      </w:r>
    </w:p>
    <w:p w:rsidR="00E760F6" w:rsidRDefault="00E760F6"/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  <w:r>
        <w:tab/>
      </w:r>
      <w:r>
        <w:rPr>
          <w:b/>
        </w:rPr>
        <w:t>Suzy prefers to play alone.  She will interact with peers given structure and maximum prompts.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  <w:r>
        <w:rPr>
          <w:bCs/>
        </w:rPr>
        <w:t>In this example the team knows that Suzy can interact in a structured situation but needs a high level of prompting.  The next step is to increase independence with interaction in situations that remain structured.  Using a “from-to” format the Annual Goal might read: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  <w:r>
        <w:rPr>
          <w:bCs/>
        </w:rPr>
        <w:tab/>
        <w:t xml:space="preserve">Annual Goal:  </w:t>
      </w:r>
      <w:r>
        <w:rPr>
          <w:b/>
        </w:rPr>
        <w:t xml:space="preserve">Increase peer interaction </w:t>
      </w:r>
      <w:r>
        <w:rPr>
          <w:b/>
          <w:i/>
          <w:iCs/>
        </w:rPr>
        <w:t>from</w:t>
      </w:r>
      <w:r>
        <w:rPr>
          <w:b/>
        </w:rPr>
        <w:t xml:space="preserve"> playing alone or with maximum prompting; </w:t>
      </w:r>
      <w:r>
        <w:rPr>
          <w:b/>
          <w:i/>
          <w:iCs/>
        </w:rPr>
        <w:t>to</w:t>
      </w:r>
      <w:r>
        <w:rPr>
          <w:b/>
        </w:rPr>
        <w:t xml:space="preserve"> interacting in a structured setting with gestural prompts only, for 5 of 7 opportunities.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  <w:r>
        <w:rPr>
          <w:bCs/>
        </w:rPr>
        <w:t xml:space="preserve">A second example is for a high school student.  The Present </w:t>
      </w:r>
      <w:r w:rsidR="00902F15">
        <w:rPr>
          <w:bCs/>
        </w:rPr>
        <w:t>Levels</w:t>
      </w:r>
      <w:r>
        <w:rPr>
          <w:bCs/>
        </w:rPr>
        <w:t xml:space="preserve"> </w:t>
      </w:r>
      <w:r w:rsidR="00902F15">
        <w:rPr>
          <w:bCs/>
        </w:rPr>
        <w:t>state</w:t>
      </w:r>
      <w:r w:rsidR="009E10AA">
        <w:rPr>
          <w:bCs/>
        </w:rPr>
        <w:t>s</w:t>
      </w:r>
      <w:r>
        <w:rPr>
          <w:bCs/>
        </w:rPr>
        <w:t>: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  <w:r>
        <w:rPr>
          <w:bCs/>
        </w:rPr>
        <w:tab/>
      </w:r>
      <w:r>
        <w:rPr>
          <w:b/>
        </w:rPr>
        <w:t>Thomas writes one paragraph per given topic in writing class.  He is able to write a topic sentence, supports, and transitions within the paragraph.  Thomas does not include a summary or concluding statement in the paragraph.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  <w:r>
        <w:rPr>
          <w:bCs/>
        </w:rPr>
        <w:t>Using the “from-to” format, the Annual Goal might read: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  <w:r>
        <w:rPr>
          <w:bCs/>
        </w:rPr>
        <w:tab/>
        <w:t xml:space="preserve">Annual Goal:  </w:t>
      </w:r>
      <w:r>
        <w:rPr>
          <w:b/>
        </w:rPr>
        <w:t xml:space="preserve">Increase writing skills </w:t>
      </w:r>
      <w:r>
        <w:rPr>
          <w:b/>
          <w:i/>
          <w:iCs/>
        </w:rPr>
        <w:t xml:space="preserve">from </w:t>
      </w:r>
      <w:r>
        <w:rPr>
          <w:b/>
        </w:rPr>
        <w:t xml:space="preserve">writing one-paragraph “essays” without concluding statements; </w:t>
      </w:r>
      <w:r>
        <w:rPr>
          <w:b/>
          <w:i/>
          <w:iCs/>
        </w:rPr>
        <w:t>to</w:t>
      </w:r>
      <w:r>
        <w:rPr>
          <w:b/>
        </w:rPr>
        <w:t xml:space="preserve"> 3 paragraphs with topic sentence, supports, transitions, and conclusion for 5 writing assignments.</w:t>
      </w:r>
    </w:p>
    <w:p w:rsidR="00E760F6" w:rsidRDefault="00E760F6">
      <w:pPr>
        <w:tabs>
          <w:tab w:val="left" w:pos="720"/>
          <w:tab w:val="left" w:pos="9360"/>
        </w:tabs>
        <w:spacing w:line="240" w:lineRule="exact"/>
        <w:outlineLvl w:val="0"/>
        <w:rPr>
          <w:b/>
        </w:rPr>
      </w:pPr>
    </w:p>
    <w:p w:rsidR="00E760F6" w:rsidRDefault="00EF3C13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  <w:r>
        <w:rPr>
          <w:bCs/>
        </w:rPr>
        <w:t xml:space="preserve">Carefully looking at a student’s </w:t>
      </w:r>
      <w:r w:rsidR="00902F15">
        <w:rPr>
          <w:bCs/>
        </w:rPr>
        <w:t xml:space="preserve">Present Levels (PFAAFP) </w:t>
      </w:r>
      <w:r>
        <w:rPr>
          <w:bCs/>
        </w:rPr>
        <w:t xml:space="preserve">and determining where he/she is coming </w:t>
      </w:r>
      <w:r>
        <w:rPr>
          <w:bCs/>
          <w:i/>
          <w:iCs/>
        </w:rPr>
        <w:t>from</w:t>
      </w:r>
      <w:r>
        <w:rPr>
          <w:bCs/>
        </w:rPr>
        <w:t xml:space="preserve">, writing it down, then determining where the student is going </w:t>
      </w:r>
      <w:r>
        <w:rPr>
          <w:bCs/>
          <w:i/>
          <w:iCs/>
        </w:rPr>
        <w:t>to</w:t>
      </w:r>
      <w:r>
        <w:rPr>
          <w:bCs/>
        </w:rPr>
        <w:t>, and adding that information, can help teams write succinct and measurable Annual Goals.</w:t>
      </w:r>
    </w:p>
    <w:p w:rsidR="00AE3655" w:rsidRDefault="00AE3655">
      <w:pPr>
        <w:tabs>
          <w:tab w:val="left" w:pos="720"/>
          <w:tab w:val="left" w:pos="9360"/>
        </w:tabs>
        <w:spacing w:line="240" w:lineRule="exact"/>
        <w:outlineLvl w:val="0"/>
        <w:rPr>
          <w:bCs/>
        </w:rPr>
      </w:pPr>
    </w:p>
    <w:p w:rsidR="00E760F6" w:rsidRDefault="00E760F6"/>
    <w:p w:rsidR="00A97C85" w:rsidRDefault="00A97C85" w:rsidP="00A97C85">
      <w:r>
        <w:t xml:space="preserve">For more information </w:t>
      </w:r>
      <w:r w:rsidR="00793557">
        <w:t>visit</w:t>
      </w:r>
      <w:r>
        <w:t xml:space="preserve">: Watson Life Resources </w:t>
      </w:r>
      <w:r w:rsidR="00793557">
        <w:t>on our website.</w:t>
      </w:r>
    </w:p>
    <w:p w:rsidR="00793557" w:rsidRDefault="00170896" w:rsidP="00A97C85">
      <w:hyperlink r:id="rId8" w:history="1">
        <w:r w:rsidR="00793557" w:rsidRPr="00792C14">
          <w:rPr>
            <w:rStyle w:val="Hyperlink"/>
          </w:rPr>
          <w:t>www.thewatsoninstitute.org/watson-life-resources/</w:t>
        </w:r>
      </w:hyperlink>
      <w:r w:rsidR="00793557">
        <w:t xml:space="preserve"> </w:t>
      </w:r>
    </w:p>
    <w:p w:rsidR="00AE3655" w:rsidRPr="00AE3655" w:rsidRDefault="00AE3655">
      <w:pPr>
        <w:rPr>
          <w:i/>
          <w:sz w:val="20"/>
        </w:rPr>
      </w:pPr>
      <w:bookmarkStart w:id="0" w:name="_GoBack"/>
      <w:bookmarkEnd w:id="0"/>
    </w:p>
    <w:sectPr w:rsidR="00AE3655" w:rsidRPr="00AE3655" w:rsidSect="00AE3655">
      <w:footerReference w:type="default" r:id="rId9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96" w:rsidRDefault="00170896" w:rsidP="00170896">
      <w:r>
        <w:separator/>
      </w:r>
    </w:p>
  </w:endnote>
  <w:endnote w:type="continuationSeparator" w:id="0">
    <w:p w:rsidR="00170896" w:rsidRDefault="00170896" w:rsidP="001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96" w:rsidRPr="00170896" w:rsidRDefault="00170896" w:rsidP="00170896">
    <w:pPr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 xml:space="preserve">Reviewed </w:t>
    </w:r>
    <w:r>
      <w:rPr>
        <w:rFonts w:ascii="Arial" w:hAnsi="Arial"/>
        <w:i/>
        <w:sz w:val="20"/>
      </w:rPr>
      <w:t>7/</w:t>
    </w:r>
    <w:r>
      <w:rPr>
        <w:rFonts w:ascii="Arial" w:hAnsi="Arial"/>
        <w:i/>
        <w:sz w:val="20"/>
      </w:rPr>
      <w:t>30</w:t>
    </w:r>
    <w:r>
      <w:rPr>
        <w:rFonts w:ascii="Arial" w:hAnsi="Arial"/>
        <w:i/>
        <w:sz w:val="20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96" w:rsidRDefault="00170896" w:rsidP="00170896">
      <w:r>
        <w:separator/>
      </w:r>
    </w:p>
  </w:footnote>
  <w:footnote w:type="continuationSeparator" w:id="0">
    <w:p w:rsidR="00170896" w:rsidRDefault="00170896" w:rsidP="0017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3"/>
    <w:rsid w:val="00093E52"/>
    <w:rsid w:val="00170896"/>
    <w:rsid w:val="002612EE"/>
    <w:rsid w:val="003F660C"/>
    <w:rsid w:val="004E45B8"/>
    <w:rsid w:val="0067490C"/>
    <w:rsid w:val="00793557"/>
    <w:rsid w:val="00902F15"/>
    <w:rsid w:val="009E10AA"/>
    <w:rsid w:val="00A97C85"/>
    <w:rsid w:val="00AE3655"/>
    <w:rsid w:val="00AF7F23"/>
    <w:rsid w:val="00D94D57"/>
    <w:rsid w:val="00E760F6"/>
    <w:rsid w:val="00E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42C0B-F4D8-43BF-AEAD-22E32D0B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F6"/>
    <w:rPr>
      <w:sz w:val="24"/>
    </w:rPr>
  </w:style>
  <w:style w:type="paragraph" w:styleId="Heading1">
    <w:name w:val="heading 1"/>
    <w:basedOn w:val="Normal"/>
    <w:next w:val="Normal"/>
    <w:qFormat/>
    <w:rsid w:val="00E760F6"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D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5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8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0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8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watsoninstitute.org/watson-life-resourc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Watson’s Tip of the Month:</vt:lpstr>
    </vt:vector>
  </TitlesOfParts>
  <Company>The Watson Institute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Watson’s Tip of the Month:</dc:title>
  <dc:subject/>
  <dc:creator>Brittani Bohn</dc:creator>
  <cp:keywords/>
  <cp:lastModifiedBy>Lisa Falk</cp:lastModifiedBy>
  <cp:revision>4</cp:revision>
  <dcterms:created xsi:type="dcterms:W3CDTF">2016-08-01T19:44:00Z</dcterms:created>
  <dcterms:modified xsi:type="dcterms:W3CDTF">2019-07-30T14:32:00Z</dcterms:modified>
</cp:coreProperties>
</file>